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010"/>
        <w:gridCol w:w="1930"/>
        <w:gridCol w:w="1472"/>
        <w:gridCol w:w="6307"/>
        <w:gridCol w:w="2126"/>
      </w:tblGrid>
      <w:tr w:rsidR="00F3413A" w:rsidRPr="008809FB" w14:paraId="77477FE2" w14:textId="77777777" w:rsidTr="00AB3AA5">
        <w:trPr>
          <w:trHeight w:val="555"/>
        </w:trPr>
        <w:tc>
          <w:tcPr>
            <w:tcW w:w="15465" w:type="dxa"/>
            <w:gridSpan w:val="6"/>
            <w:shd w:val="clear" w:color="000000" w:fill="FFFFFF"/>
            <w:noWrap/>
            <w:vAlign w:val="center"/>
            <w:hideMark/>
          </w:tcPr>
          <w:p w14:paraId="77477FE1" w14:textId="2A004FAC" w:rsidR="00F3413A" w:rsidRPr="008809FB" w:rsidRDefault="00F3413A" w:rsidP="00F34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Projekty pozyskane w 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edycji programu MEIN pn. "Doktorat wdrożeniowy"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</w:t>
            </w:r>
          </w:p>
        </w:tc>
      </w:tr>
      <w:tr w:rsidR="00C60C86" w:rsidRPr="008809FB" w14:paraId="77477FE9" w14:textId="77777777" w:rsidTr="00F3413A">
        <w:trPr>
          <w:trHeight w:val="1200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7477FE3" w14:textId="77777777"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10" w:type="dxa"/>
            <w:shd w:val="clear" w:color="000000" w:fill="FFFFFF"/>
            <w:vAlign w:val="center"/>
            <w:hideMark/>
          </w:tcPr>
          <w:p w14:paraId="77477FE4" w14:textId="77777777"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77477FE5" w14:textId="77777777"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doktorska</w:t>
            </w:r>
          </w:p>
        </w:tc>
        <w:tc>
          <w:tcPr>
            <w:tcW w:w="1472" w:type="dxa"/>
            <w:shd w:val="clear" w:color="000000" w:fill="FFFFFF"/>
            <w:vAlign w:val="center"/>
            <w:hideMark/>
          </w:tcPr>
          <w:p w14:paraId="77477FE6" w14:textId="77777777"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Dyscyplina</w:t>
            </w:r>
          </w:p>
        </w:tc>
        <w:tc>
          <w:tcPr>
            <w:tcW w:w="6307" w:type="dxa"/>
            <w:shd w:val="clear" w:color="000000" w:fill="FFFFFF"/>
            <w:vAlign w:val="center"/>
            <w:hideMark/>
          </w:tcPr>
          <w:p w14:paraId="77477FE7" w14:textId="77777777"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 projektu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7477FE8" w14:textId="77777777"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Budżet całkowity projektu</w:t>
            </w:r>
          </w:p>
        </w:tc>
      </w:tr>
      <w:tr w:rsidR="00C60C86" w:rsidRPr="008809FB" w14:paraId="77477FF0" w14:textId="77777777" w:rsidTr="00F3413A">
        <w:trPr>
          <w:trHeight w:val="12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7477FEA" w14:textId="77777777"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14:paraId="77477FEB" w14:textId="6054FB4B" w:rsidR="00C60C86" w:rsidRPr="008809FB" w:rsidRDefault="00E76E05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t>Superwizja</w:t>
            </w:r>
            <w:proofErr w:type="spellEnd"/>
            <w:r>
              <w:t xml:space="preserve"> Zespołu Interdyscyplinarnego a efektywność procesu usamodzielnienia Mieszkańców w Domu Samotnej Matki w Łodzi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77477FEC" w14:textId="77777777"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77477FED" w14:textId="2B894729"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nauki </w:t>
            </w:r>
            <w:r w:rsidR="00E76E05">
              <w:rPr>
                <w:rFonts w:ascii="Calibri" w:eastAsia="Times New Roman" w:hAnsi="Calibri" w:cs="Calibri"/>
                <w:color w:val="000000"/>
                <w:lang w:eastAsia="pl-PL"/>
              </w:rPr>
              <w:t>socjologiczne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77477FEE" w14:textId="6819B6C5" w:rsidR="00C60C86" w:rsidRPr="008809FB" w:rsidRDefault="00AC5A9F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 xml:space="preserve">Tematem podejmowanych badań są doświadczenia i potrzeby korzystania ze wsparcia członków Zespołu Interdyscyplinarnego zatrudnionych w Ośrodku Wsparcia-Domu Samotnej Matki i ich korelacja z jakością udzielnego wsparcia społecznego mieszkańcom Ośrodka. Przedmiotem projektu jest diagnoza potrzeb i możliwości wsparcia Zespołu profesjonalistów pracującego z klientem w granicznych sytuacjach kryzysowych (żałoba, przemoc, niepełnosprawność, trauma) oraz wdrożenie modelu </w:t>
            </w:r>
            <w:proofErr w:type="spell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>Superwizji</w:t>
            </w:r>
            <w:proofErr w:type="spellEnd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 xml:space="preserve"> Zespołu Interdyscyplinarnego. Obserwowanym problemem jest brak profilaktyki wypalania zawodowego i negatywne skutki na jakość świadczonych usług społecznych oraz brak oferty Superrewizji dla Zespołu Interdyscyplinarnego. Celem jest wprowadzenie modelu Superrewizji</w:t>
            </w:r>
            <w:r w:rsidR="00F3413A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>jako systemowej, zaplanowanej formy wsparcia mającym na celu zwiększenie jakości świadczonych usług.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>Hipoteza: Jakość wsparcia Zespołu Interdyscyplinarnego Pracowników ma wpływ na jakość udzielanego wsparcia mieszkańcom Domu Samotnej Matki.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7477FEF" w14:textId="07049F50" w:rsidR="00C60C86" w:rsidRPr="008809FB" w:rsidRDefault="00B3191F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191F"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3191F">
              <w:rPr>
                <w:rFonts w:ascii="Calibri" w:eastAsia="Times New Roman" w:hAnsi="Calibri" w:cs="Calibri"/>
                <w:color w:val="000000"/>
                <w:lang w:eastAsia="pl-PL"/>
              </w:rPr>
              <w:t>857,28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60C86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C60C86" w:rsidRPr="008809FB" w14:paraId="77478028" w14:textId="77777777" w:rsidTr="00F3413A">
        <w:trPr>
          <w:trHeight w:val="300"/>
        </w:trPr>
        <w:tc>
          <w:tcPr>
            <w:tcW w:w="620" w:type="dxa"/>
            <w:shd w:val="clear" w:color="auto" w:fill="auto"/>
            <w:vAlign w:val="bottom"/>
            <w:hideMark/>
          </w:tcPr>
          <w:p w14:paraId="77478022" w14:textId="77777777"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010" w:type="dxa"/>
            <w:shd w:val="clear" w:color="auto" w:fill="auto"/>
            <w:vAlign w:val="bottom"/>
            <w:hideMark/>
          </w:tcPr>
          <w:p w14:paraId="77478023" w14:textId="77777777"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7478024" w14:textId="77777777"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14:paraId="77478025" w14:textId="77777777"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307" w:type="dxa"/>
            <w:shd w:val="clear" w:color="auto" w:fill="auto"/>
            <w:noWrap/>
            <w:vAlign w:val="bottom"/>
            <w:hideMark/>
          </w:tcPr>
          <w:p w14:paraId="77478026" w14:textId="77777777" w:rsidR="00C60C86" w:rsidRPr="008809FB" w:rsidRDefault="00C60C86" w:rsidP="00F806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77478027" w14:textId="2EDD83E0" w:rsidR="00C60C86" w:rsidRPr="00B3191F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</w:t>
            </w:r>
            <w:r w:rsidR="00B3191F" w:rsidRPr="00B31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265 857,28 </w:t>
            </w:r>
            <w:r w:rsidRPr="00B319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zł </w:t>
            </w:r>
          </w:p>
        </w:tc>
      </w:tr>
    </w:tbl>
    <w:p w14:paraId="77478029" w14:textId="77777777" w:rsidR="00344876" w:rsidRDefault="00344876" w:rsidP="00C60C86">
      <w:pPr>
        <w:ind w:left="-709"/>
      </w:pPr>
    </w:p>
    <w:sectPr w:rsidR="00344876" w:rsidSect="00C60C86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6B"/>
    <w:rsid w:val="00344876"/>
    <w:rsid w:val="008809FB"/>
    <w:rsid w:val="00AC1281"/>
    <w:rsid w:val="00AC5A9F"/>
    <w:rsid w:val="00AC666B"/>
    <w:rsid w:val="00B3191F"/>
    <w:rsid w:val="00C60C86"/>
    <w:rsid w:val="00DE6F90"/>
    <w:rsid w:val="00E410B6"/>
    <w:rsid w:val="00E76E05"/>
    <w:rsid w:val="00F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7FDF"/>
  <w15:docId w15:val="{67768F82-B7F5-4FDF-88FA-1E50EDBE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Wojnarowska</cp:lastModifiedBy>
  <cp:revision>2</cp:revision>
  <dcterms:created xsi:type="dcterms:W3CDTF">2023-01-30T23:19:00Z</dcterms:created>
  <dcterms:modified xsi:type="dcterms:W3CDTF">2023-01-30T23:19:00Z</dcterms:modified>
</cp:coreProperties>
</file>